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31" w:rsidRDefault="003B547E" w:rsidP="00BC5774">
      <w:pPr>
        <w:pStyle w:val="Nadpis2"/>
      </w:pPr>
      <w:r>
        <w:rPr>
          <w:noProof/>
        </w:rPr>
        <w:pict>
          <v:shapetype id="_x0000_t202" coordsize="21600,21600" o:spt="202" path="m,l,21600r21600,l21600,xe">
            <v:stroke joinstyle="miter"/>
            <v:path gradientshapeok="t" o:connecttype="rect"/>
          </v:shapetype>
          <v:shape id="_x0000_s1026" type="#_x0000_t202" style="position:absolute;margin-left:301.45pt;margin-top:25.15pt;width:159pt;height:210.75pt;z-index:251660288;mso-width-relative:margin;mso-height-relative:margin" stroked="f">
            <v:textbox>
              <w:txbxContent>
                <w:p w:rsidR="00F44738" w:rsidRPr="00F44738" w:rsidRDefault="00F44738" w:rsidP="00F44738">
                  <w:pPr>
                    <w:spacing w:after="0"/>
                    <w:rPr>
                      <w:u w:val="single"/>
                    </w:rPr>
                  </w:pPr>
                  <w:r w:rsidRPr="00F44738">
                    <w:rPr>
                      <w:u w:val="single"/>
                    </w:rPr>
                    <w:t>Přehled jednotlivých částí:</w:t>
                  </w:r>
                </w:p>
                <w:p w:rsidR="00F44738" w:rsidRDefault="00F44738" w:rsidP="00F44738">
                  <w:pPr>
                    <w:spacing w:after="0"/>
                  </w:pPr>
                  <w:r>
                    <w:t>1 – Ventil regulace tlaku</w:t>
                  </w:r>
                </w:p>
                <w:p w:rsidR="00F44738" w:rsidRDefault="00F44738" w:rsidP="00F44738">
                  <w:pPr>
                    <w:spacing w:after="0"/>
                  </w:pPr>
                  <w:r>
                    <w:t>2 – Červený bezpečnostní ventil</w:t>
                  </w:r>
                </w:p>
                <w:p w:rsidR="00F44738" w:rsidRDefault="00F44738" w:rsidP="00F44738">
                  <w:pPr>
                    <w:spacing w:after="0"/>
                  </w:pPr>
                  <w:r>
                    <w:t>3 – Otevírací/uzavírací systém</w:t>
                  </w:r>
                </w:p>
                <w:p w:rsidR="00F44738" w:rsidRDefault="00F44738" w:rsidP="00F44738">
                  <w:pPr>
                    <w:spacing w:after="0"/>
                  </w:pPr>
                  <w:r>
                    <w:t>4 – Bezpečnostní průzor</w:t>
                  </w:r>
                </w:p>
                <w:p w:rsidR="00F44738" w:rsidRDefault="00F44738" w:rsidP="00F44738">
                  <w:pPr>
                    <w:spacing w:after="0"/>
                  </w:pPr>
                  <w:r>
                    <w:t>5 – Víko s těsnícím kroužkem</w:t>
                  </w:r>
                </w:p>
                <w:p w:rsidR="00F44738" w:rsidRDefault="00F44738" w:rsidP="00F44738">
                  <w:pPr>
                    <w:spacing w:after="0"/>
                  </w:pPr>
                  <w:r>
                    <w:t>6 – Plnící stupnice</w:t>
                  </w:r>
                </w:p>
                <w:p w:rsidR="00F44738" w:rsidRDefault="00F44738" w:rsidP="00F44738">
                  <w:pPr>
                    <w:spacing w:after="0"/>
                  </w:pPr>
                  <w:r>
                    <w:t>7 – Hrnec</w:t>
                  </w:r>
                </w:p>
                <w:p w:rsidR="00F44738" w:rsidRDefault="00F44738" w:rsidP="00F44738">
                  <w:pPr>
                    <w:spacing w:after="0"/>
                  </w:pPr>
                  <w:r>
                    <w:t xml:space="preserve">8 – </w:t>
                  </w:r>
                  <w:r w:rsidR="00746E75">
                    <w:t>Tepelná báze</w:t>
                  </w:r>
                </w:p>
                <w:p w:rsidR="00F44738" w:rsidRDefault="00F44738" w:rsidP="00F44738">
                  <w:pPr>
                    <w:spacing w:after="0"/>
                  </w:pPr>
                  <w:r>
                    <w:t>9 – Rukojeť</w:t>
                  </w:r>
                </w:p>
              </w:txbxContent>
            </v:textbox>
          </v:shape>
        </w:pict>
      </w:r>
      <w:proofErr w:type="spellStart"/>
      <w:r w:rsidR="00BC5774">
        <w:t>Korkmaz</w:t>
      </w:r>
      <w:proofErr w:type="spellEnd"/>
      <w:r w:rsidR="00BC5774">
        <w:t xml:space="preserve"> A</w:t>
      </w:r>
      <w:r w:rsidR="000A7F06">
        <w:t>149/150</w:t>
      </w:r>
      <w:r w:rsidR="00A216DB">
        <w:t xml:space="preserve"> – návod k</w:t>
      </w:r>
      <w:r w:rsidR="00986346">
        <w:t> </w:t>
      </w:r>
      <w:r w:rsidR="00A216DB">
        <w:t>použití</w:t>
      </w:r>
    </w:p>
    <w:p w:rsidR="00986346" w:rsidRPr="00986346" w:rsidRDefault="00F44738" w:rsidP="00986346">
      <w:r>
        <w:rPr>
          <w:noProof/>
          <w:lang w:eastAsia="cs-CZ"/>
        </w:rPr>
        <w:drawing>
          <wp:inline distT="0" distB="0" distL="0" distR="0">
            <wp:extent cx="3814286" cy="2777878"/>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4286" cy="2777878"/>
                    </a:xfrm>
                    <a:prstGeom prst="rect">
                      <a:avLst/>
                    </a:prstGeom>
                    <a:noFill/>
                    <a:ln w="9525">
                      <a:noFill/>
                      <a:miter lim="800000"/>
                      <a:headEnd/>
                      <a:tailEnd/>
                    </a:ln>
                  </pic:spPr>
                </pic:pic>
              </a:graphicData>
            </a:graphic>
          </wp:inline>
        </w:drawing>
      </w:r>
    </w:p>
    <w:p w:rsidR="00BC5774" w:rsidRDefault="00A216DB" w:rsidP="00D34667">
      <w:pPr>
        <w:jc w:val="both"/>
      </w:pPr>
      <w:r>
        <w:t xml:space="preserve">Před použitím výrobku si </w:t>
      </w:r>
      <w:r w:rsidRPr="00A216DB">
        <w:rPr>
          <w:b/>
        </w:rPr>
        <w:t>PROSÍM PEČLIVĚ PROČTĚTE PŘILOŽENÝ NÁVOD</w:t>
      </w:r>
      <w:r w:rsidRPr="00A216DB">
        <w:t xml:space="preserve"> a </w:t>
      </w:r>
      <w:r>
        <w:t>seznamte se s instrukcemi pro správné použití výrobku</w:t>
      </w:r>
      <w:r w:rsidRPr="00A216DB">
        <w:t xml:space="preserve">. </w:t>
      </w:r>
      <w:r w:rsidR="0048604F">
        <w:t>Vždy postupujte v souladu s </w:t>
      </w:r>
      <w:r w:rsidR="0048604F" w:rsidRPr="0048604F">
        <w:rPr>
          <w:u w:val="single"/>
        </w:rPr>
        <w:t>bezpečnostními pokyny</w:t>
      </w:r>
      <w:r w:rsidR="0048604F">
        <w:t xml:space="preserve">! Výrobek je navržen výhradně pro domácí použití. Nevhodné použití </w:t>
      </w:r>
      <w:r w:rsidR="00E11DCB">
        <w:t xml:space="preserve">výrobku </w:t>
      </w:r>
      <w:r w:rsidR="0048604F">
        <w:t xml:space="preserve">jinak než v souladu s pokyny pro </w:t>
      </w:r>
      <w:r w:rsidR="00217EF5">
        <w:t>pou</w:t>
      </w:r>
      <w:r w:rsidR="0048604F">
        <w:t>ž</w:t>
      </w:r>
      <w:r w:rsidR="00217EF5">
        <w:t>ití</w:t>
      </w:r>
      <w:r w:rsidR="0048604F">
        <w:t xml:space="preserve"> </w:t>
      </w:r>
      <w:r w:rsidR="005A38E6">
        <w:t>může mít za následek zranění uživatele či poškození majetku a výrobce ani dovozce nenesou v těchto případech žádnou zodpovědnost.</w:t>
      </w:r>
    </w:p>
    <w:p w:rsidR="005A38E6" w:rsidRPr="005A38E6" w:rsidRDefault="005A38E6" w:rsidP="00D34667">
      <w:pPr>
        <w:pStyle w:val="Bezmezer"/>
        <w:jc w:val="both"/>
        <w:rPr>
          <w:b/>
        </w:rPr>
      </w:pPr>
      <w:r w:rsidRPr="005A38E6">
        <w:rPr>
          <w:b/>
        </w:rPr>
        <w:t>VAROVÁNÍ!</w:t>
      </w:r>
    </w:p>
    <w:p w:rsidR="009A21D0" w:rsidRDefault="00BC1D23" w:rsidP="00D34667">
      <w:pPr>
        <w:pStyle w:val="Bezmezer"/>
        <w:numPr>
          <w:ilvl w:val="0"/>
          <w:numId w:val="1"/>
        </w:numPr>
        <w:jc w:val="both"/>
      </w:pPr>
      <w:r>
        <w:t>Produkt</w:t>
      </w:r>
      <w:r w:rsidR="009A21D0">
        <w:t xml:space="preserve"> nesmí pou</w:t>
      </w:r>
      <w:r w:rsidR="00ED32D4">
        <w:t>žívat děti, či osoby se změněným tělesným, smyslovým či psychickým stavem, či osoby bez patřičných znalostí a zkušeností, pokud ne</w:t>
      </w:r>
      <w:r w:rsidR="002F7148">
        <w:t>jsou pod dohledem</w:t>
      </w:r>
      <w:r w:rsidR="00ED32D4">
        <w:t xml:space="preserve"> a nebyly proškoleny.</w:t>
      </w:r>
    </w:p>
    <w:p w:rsidR="002F7148" w:rsidRDefault="002F7148" w:rsidP="00BC1D23">
      <w:pPr>
        <w:pStyle w:val="Bezmezer"/>
        <w:numPr>
          <w:ilvl w:val="0"/>
          <w:numId w:val="1"/>
        </w:numPr>
        <w:spacing w:after="240"/>
        <w:jc w:val="both"/>
      </w:pPr>
      <w:r>
        <w:t xml:space="preserve">Děti si nesmějí s </w:t>
      </w:r>
      <w:r w:rsidR="00BC1D23">
        <w:t>produktem</w:t>
      </w:r>
      <w:r>
        <w:t xml:space="preserve"> hrát ani v případě, že jsou pod dohledem.</w:t>
      </w:r>
    </w:p>
    <w:p w:rsidR="002F7148" w:rsidRDefault="002F7148" w:rsidP="00D34667">
      <w:pPr>
        <w:pStyle w:val="Bezmezer"/>
        <w:jc w:val="both"/>
        <w:rPr>
          <w:b/>
        </w:rPr>
      </w:pPr>
      <w:r w:rsidRPr="002F7148">
        <w:rPr>
          <w:b/>
        </w:rPr>
        <w:t>OBECNÁ BEZPEČNOSTNÍ UPOZORNĚNÍ</w:t>
      </w:r>
    </w:p>
    <w:p w:rsidR="00F852BA" w:rsidRPr="00F852BA" w:rsidRDefault="00F852BA" w:rsidP="00D34667">
      <w:pPr>
        <w:pStyle w:val="Bezmezer"/>
        <w:jc w:val="both"/>
      </w:pPr>
      <w:r>
        <w:t>Při použití elektrických spotřebičů musejí být vždy striktně dodrženy následující bezpečnostní upozornění:</w:t>
      </w:r>
    </w:p>
    <w:p w:rsidR="002F7148" w:rsidRDefault="00F852BA" w:rsidP="00D34667">
      <w:pPr>
        <w:pStyle w:val="Bezmezer"/>
        <w:numPr>
          <w:ilvl w:val="0"/>
          <w:numId w:val="2"/>
        </w:numPr>
        <w:jc w:val="both"/>
      </w:pPr>
      <w:r>
        <w:t>Tento spotřebič je určen výhradně pro osobní použití. Není vhodný pro komerční použití.</w:t>
      </w:r>
    </w:p>
    <w:p w:rsidR="00F852BA" w:rsidRDefault="005318AC" w:rsidP="00D34667">
      <w:pPr>
        <w:pStyle w:val="Bezmezer"/>
        <w:numPr>
          <w:ilvl w:val="0"/>
          <w:numId w:val="2"/>
        </w:numPr>
        <w:jc w:val="both"/>
      </w:pPr>
      <w:r>
        <w:t xml:space="preserve">Neodcházejte od spotřebiče, pokud je </w:t>
      </w:r>
      <w:r w:rsidR="00BC1D23">
        <w:t>používán</w:t>
      </w:r>
      <w:r>
        <w:t>. Po použití jej nezapomeňte od</w:t>
      </w:r>
      <w:r w:rsidR="00BC1D23">
        <w:t>stavit</w:t>
      </w:r>
      <w:r>
        <w:t>.</w:t>
      </w:r>
    </w:p>
    <w:p w:rsidR="005318AC" w:rsidRDefault="009E3D13" w:rsidP="00D34667">
      <w:pPr>
        <w:pStyle w:val="Bezmezer"/>
        <w:numPr>
          <w:ilvl w:val="0"/>
          <w:numId w:val="2"/>
        </w:numPr>
        <w:jc w:val="both"/>
      </w:pPr>
      <w:r>
        <w:t xml:space="preserve">Před použitím zkontrolujte veškeré části. Nepoužívejte </w:t>
      </w:r>
      <w:r w:rsidR="00BC1D23">
        <w:t>produkt</w:t>
      </w:r>
      <w:r>
        <w:t>, pokud kterákoliv chybí</w:t>
      </w:r>
      <w:r w:rsidR="00BC1D23">
        <w:t xml:space="preserve"> či pokud je poškozena</w:t>
      </w:r>
      <w:r>
        <w:t>.</w:t>
      </w:r>
    </w:p>
    <w:p w:rsidR="009E3D13" w:rsidRDefault="00BC1D23" w:rsidP="00D34667">
      <w:pPr>
        <w:pStyle w:val="Bezmezer"/>
        <w:numPr>
          <w:ilvl w:val="0"/>
          <w:numId w:val="2"/>
        </w:numPr>
        <w:jc w:val="both"/>
      </w:pPr>
      <w:r>
        <w:t>Používejte tento produkt pouze k vaření, pro které je určen</w:t>
      </w:r>
      <w:r w:rsidR="009E3D13">
        <w:t>.</w:t>
      </w:r>
    </w:p>
    <w:p w:rsidR="009E3D13" w:rsidRDefault="009E3D13" w:rsidP="00D34667">
      <w:pPr>
        <w:pStyle w:val="Bezmezer"/>
        <w:numPr>
          <w:ilvl w:val="0"/>
          <w:numId w:val="2"/>
        </w:numPr>
        <w:jc w:val="both"/>
      </w:pPr>
      <w:r>
        <w:t xml:space="preserve">Neodpojujte ani nepřidávejte jakékoliv části, pokud je </w:t>
      </w:r>
      <w:r w:rsidR="00BC1D23">
        <w:t xml:space="preserve">produkt </w:t>
      </w:r>
      <w:r>
        <w:t>v provozu.</w:t>
      </w:r>
    </w:p>
    <w:p w:rsidR="009E3D13" w:rsidRDefault="00E66633" w:rsidP="00D34667">
      <w:pPr>
        <w:pStyle w:val="Bezmezer"/>
        <w:numPr>
          <w:ilvl w:val="0"/>
          <w:numId w:val="2"/>
        </w:numPr>
        <w:jc w:val="both"/>
      </w:pPr>
      <w:r>
        <w:t>Nepřesunujte ani nečistěte spotřebič, pokud je v provozu.</w:t>
      </w:r>
    </w:p>
    <w:p w:rsidR="00BC1D23" w:rsidRDefault="00BC1D23" w:rsidP="00D34667">
      <w:pPr>
        <w:pStyle w:val="Bezmezer"/>
        <w:numPr>
          <w:ilvl w:val="0"/>
          <w:numId w:val="2"/>
        </w:numPr>
        <w:jc w:val="both"/>
      </w:pPr>
      <w:r>
        <w:t>Před každým použitím zkontrolujte čistotu a funkčnost – bezpečnostního ventilu, ventilu regulace tlaku a těsnícího kroužku.</w:t>
      </w:r>
    </w:p>
    <w:p w:rsidR="00E66633" w:rsidRDefault="00BC1D23" w:rsidP="00D34667">
      <w:pPr>
        <w:pStyle w:val="Bezmezer"/>
        <w:numPr>
          <w:ilvl w:val="0"/>
          <w:numId w:val="2"/>
        </w:numPr>
        <w:jc w:val="both"/>
      </w:pPr>
      <w:r>
        <w:t>Tlak uvnitř hrnce narůstá v průběhu procesu vaření</w:t>
      </w:r>
      <w:r w:rsidR="00E66633">
        <w:t>.</w:t>
      </w:r>
      <w:r>
        <w:t xml:space="preserve"> Je proto velmi důležité uzavřít víko správně (tak aby těsnilo), před použitím produktu a jednat v souladu s návodem k použití. Nesprávné použití či jednání v rozporu s návodem může mít za následek zničení majetku či zranění osob.</w:t>
      </w:r>
    </w:p>
    <w:p w:rsidR="00E66633" w:rsidRDefault="00BC1D23" w:rsidP="00D34667">
      <w:pPr>
        <w:pStyle w:val="Bezmezer"/>
        <w:numPr>
          <w:ilvl w:val="0"/>
          <w:numId w:val="2"/>
        </w:numPr>
        <w:jc w:val="both"/>
      </w:pPr>
      <w:r>
        <w:t>Tento tlakový hrnec není dodáván s ukazatelem tlaku</w:t>
      </w:r>
      <w:r w:rsidR="003029A0">
        <w:t xml:space="preserve">. </w:t>
      </w:r>
      <w:r w:rsidR="002F6E74">
        <w:t>Sledujte únik páry prostřednictvím ventilu regulace tlaku – to indikuje nárůst tlaku uvnitř hrnce.</w:t>
      </w:r>
    </w:p>
    <w:p w:rsidR="002F6E74" w:rsidRDefault="002F6E74" w:rsidP="00D34667">
      <w:pPr>
        <w:pStyle w:val="Bezmezer"/>
        <w:numPr>
          <w:ilvl w:val="0"/>
          <w:numId w:val="2"/>
        </w:numPr>
        <w:jc w:val="both"/>
      </w:pPr>
      <w:r>
        <w:t>Dodržujte minimální a maximální náplň. Hrnec nepoužívejte prázdný ani nepřeplňujte.</w:t>
      </w:r>
    </w:p>
    <w:p w:rsidR="002F6E74" w:rsidRDefault="002F6E74" w:rsidP="00D34667">
      <w:pPr>
        <w:pStyle w:val="Bezmezer"/>
        <w:numPr>
          <w:ilvl w:val="0"/>
          <w:numId w:val="2"/>
        </w:numPr>
        <w:jc w:val="both"/>
      </w:pPr>
      <w:r>
        <w:lastRenderedPageBreak/>
        <w:t>Používejte hrnec pouze se zdroji tepla k tomuto užívání určenými.</w:t>
      </w:r>
    </w:p>
    <w:p w:rsidR="002F6E74" w:rsidRDefault="002F6E74" w:rsidP="00D34667">
      <w:pPr>
        <w:pStyle w:val="Bezmezer"/>
        <w:numPr>
          <w:ilvl w:val="0"/>
          <w:numId w:val="2"/>
        </w:numPr>
        <w:jc w:val="both"/>
      </w:pPr>
      <w:r>
        <w:t>Nikdy nepoužívejte hrnec v troubě na pečení, mohlo by dojít ke zničení.</w:t>
      </w:r>
    </w:p>
    <w:p w:rsidR="002F6E74" w:rsidRDefault="002F6E74" w:rsidP="00D34667">
      <w:pPr>
        <w:pStyle w:val="Bezmezer"/>
        <w:numPr>
          <w:ilvl w:val="0"/>
          <w:numId w:val="2"/>
        </w:numPr>
        <w:jc w:val="both"/>
      </w:pPr>
      <w:r>
        <w:t>Vždy manipulujte s hrncem výhradně v rukavicích.</w:t>
      </w:r>
    </w:p>
    <w:p w:rsidR="002F6E74" w:rsidRDefault="002F6E74" w:rsidP="00D34667">
      <w:pPr>
        <w:pStyle w:val="Bezmezer"/>
        <w:numPr>
          <w:ilvl w:val="0"/>
          <w:numId w:val="2"/>
        </w:numPr>
        <w:jc w:val="both"/>
      </w:pPr>
      <w:r>
        <w:t>Vždy se před otevřením hrnce ujistěte, že nahromaděný tlak byl uvolněn.</w:t>
      </w:r>
    </w:p>
    <w:p w:rsidR="002F6E74" w:rsidRDefault="002F6E74" w:rsidP="00D34667">
      <w:pPr>
        <w:pStyle w:val="Bezmezer"/>
        <w:numPr>
          <w:ilvl w:val="0"/>
          <w:numId w:val="2"/>
        </w:numPr>
        <w:jc w:val="both"/>
      </w:pPr>
      <w:r>
        <w:t>Při uvolňování tlaku udržujte ruce, hlavu i tělo v bezpečné vzdálenosti od unikající páry.</w:t>
      </w:r>
    </w:p>
    <w:p w:rsidR="002F6E74" w:rsidRDefault="002F6E74" w:rsidP="00D34667">
      <w:pPr>
        <w:pStyle w:val="Bezmezer"/>
        <w:numPr>
          <w:ilvl w:val="0"/>
          <w:numId w:val="2"/>
        </w:numPr>
        <w:jc w:val="both"/>
      </w:pPr>
      <w:r>
        <w:t>Produkt není možno umývat v myčce.</w:t>
      </w:r>
    </w:p>
    <w:p w:rsidR="002F6E74" w:rsidRDefault="002F6E74" w:rsidP="00D34667">
      <w:pPr>
        <w:pStyle w:val="Bezmezer"/>
        <w:numPr>
          <w:ilvl w:val="0"/>
          <w:numId w:val="2"/>
        </w:numPr>
        <w:jc w:val="both"/>
      </w:pPr>
      <w:r>
        <w:t>Používejte pouze s originálními díly.</w:t>
      </w:r>
    </w:p>
    <w:p w:rsidR="00C57584" w:rsidRDefault="00C57584" w:rsidP="00D34667">
      <w:pPr>
        <w:pStyle w:val="Bezmezer"/>
        <w:numPr>
          <w:ilvl w:val="0"/>
          <w:numId w:val="2"/>
        </w:numPr>
        <w:jc w:val="both"/>
      </w:pPr>
      <w:r>
        <w:t>Uchovejte obal přístroje mimo dosah dětí a nedovolte jim si s ním hrát.</w:t>
      </w:r>
    </w:p>
    <w:p w:rsidR="0008597C" w:rsidRDefault="00713E67" w:rsidP="00D34667">
      <w:pPr>
        <w:pStyle w:val="Bezmezer"/>
        <w:spacing w:before="240"/>
        <w:jc w:val="both"/>
        <w:rPr>
          <w:b/>
        </w:rPr>
      </w:pPr>
      <w:r>
        <w:rPr>
          <w:b/>
        </w:rPr>
        <w:t>OBECNÉ INFORMACE</w:t>
      </w:r>
    </w:p>
    <w:p w:rsidR="006A3B86" w:rsidRPr="00713E67" w:rsidRDefault="00713E67" w:rsidP="00713E67">
      <w:pPr>
        <w:pStyle w:val="Bezmezer"/>
        <w:numPr>
          <w:ilvl w:val="0"/>
          <w:numId w:val="7"/>
        </w:numPr>
        <w:jc w:val="both"/>
        <w:rPr>
          <w:b/>
        </w:rPr>
      </w:pPr>
      <w:r w:rsidRPr="00713E67">
        <w:rPr>
          <w:b/>
        </w:rPr>
        <w:t>Otevření</w:t>
      </w:r>
    </w:p>
    <w:p w:rsidR="00713E67" w:rsidRDefault="00762DA6" w:rsidP="00713E67">
      <w:pPr>
        <w:pStyle w:val="Bezmezer"/>
        <w:jc w:val="both"/>
      </w:pPr>
      <w:r>
        <w:t xml:space="preserve">Stiskněte jedním prstem tlačítko </w:t>
      </w:r>
      <w:r>
        <w:rPr>
          <w:noProof/>
          <w:lang w:eastAsia="cs-CZ"/>
        </w:rPr>
        <w:drawing>
          <wp:inline distT="0" distB="0" distL="0" distR="0">
            <wp:extent cx="276225" cy="266700"/>
            <wp:effectExtent l="19050" t="0" r="9525" b="0"/>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t xml:space="preserve">. </w:t>
      </w:r>
      <w:r w:rsidR="0023153A">
        <w:t>Úchyty cvaknou, uvidíte kontrolní značky na spodní části a víko můžete odejmout tahem přímo nahoru.</w:t>
      </w:r>
    </w:p>
    <w:p w:rsidR="0012247E" w:rsidRDefault="0012247E" w:rsidP="0012247E">
      <w:pPr>
        <w:pStyle w:val="Bezmezer"/>
        <w:jc w:val="center"/>
      </w:pPr>
      <w:r>
        <w:rPr>
          <w:noProof/>
          <w:lang w:eastAsia="cs-CZ"/>
        </w:rPr>
        <w:drawing>
          <wp:inline distT="0" distB="0" distL="0" distR="0">
            <wp:extent cx="1257300" cy="9239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57300" cy="923925"/>
                    </a:xfrm>
                    <a:prstGeom prst="rect">
                      <a:avLst/>
                    </a:prstGeom>
                    <a:noFill/>
                    <a:ln w="9525">
                      <a:noFill/>
                      <a:miter lim="800000"/>
                      <a:headEnd/>
                      <a:tailEnd/>
                    </a:ln>
                  </pic:spPr>
                </pic:pic>
              </a:graphicData>
            </a:graphic>
          </wp:inline>
        </w:drawing>
      </w:r>
    </w:p>
    <w:p w:rsidR="00713E67" w:rsidRPr="0023153A" w:rsidRDefault="00713E67" w:rsidP="00713E67">
      <w:pPr>
        <w:pStyle w:val="Bezmezer"/>
        <w:numPr>
          <w:ilvl w:val="0"/>
          <w:numId w:val="7"/>
        </w:numPr>
        <w:jc w:val="both"/>
        <w:rPr>
          <w:b/>
        </w:rPr>
      </w:pPr>
      <w:r w:rsidRPr="0023153A">
        <w:rPr>
          <w:b/>
        </w:rPr>
        <w:t>Zavření</w:t>
      </w:r>
    </w:p>
    <w:p w:rsidR="0023153A" w:rsidRDefault="0023153A" w:rsidP="0023153A">
      <w:pPr>
        <w:pStyle w:val="Bezmezer"/>
        <w:jc w:val="both"/>
      </w:pPr>
      <w:r>
        <w:t xml:space="preserve">Umístěte víko přímo na hrnec. Ujistěte se, že úchyty jsou v otevřené pozici (kontrolní značky musí být viditelné). Poté stiskněte jedním prstem tlačítko </w:t>
      </w:r>
      <w:r>
        <w:rPr>
          <w:noProof/>
          <w:lang w:eastAsia="cs-CZ"/>
        </w:rPr>
        <w:drawing>
          <wp:inline distT="0" distB="0" distL="0" distR="0">
            <wp:extent cx="180975" cy="209550"/>
            <wp:effectExtent l="19050" t="0" r="9525" b="0"/>
            <wp:docPr id="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t>, kontrolní značky nebudou viditelné a úchyty se zacvaknou.</w:t>
      </w:r>
    </w:p>
    <w:p w:rsidR="00713E67" w:rsidRDefault="0023153A" w:rsidP="00713E67">
      <w:pPr>
        <w:pStyle w:val="Bezmezer"/>
        <w:numPr>
          <w:ilvl w:val="0"/>
          <w:numId w:val="7"/>
        </w:numPr>
        <w:jc w:val="both"/>
      </w:pPr>
      <w:r>
        <w:t>Naplňte jídlem, které chcete vařit, alespoň do značky minimálního množství což je cca 3/8 litru. Jídlo spolu s přidanou tekutinou by mělo zaujmout minimálně 1/3 kapacity hrnce. Pokud vaříte potraviny, které mají tendenci zvětšovat svůj objem, ujistěte se, že hrnec bude naplněn maximálně z ½. Ve všech ostatních případech je maximální povolené množství 2/3 kapacity hrnce.</w:t>
      </w:r>
    </w:p>
    <w:p w:rsidR="0012247E" w:rsidRDefault="0012247E" w:rsidP="0012247E">
      <w:pPr>
        <w:pStyle w:val="Bezmezer"/>
        <w:jc w:val="center"/>
      </w:pPr>
      <w:r>
        <w:rPr>
          <w:noProof/>
          <w:lang w:eastAsia="cs-CZ"/>
        </w:rPr>
        <w:drawing>
          <wp:inline distT="0" distB="0" distL="0" distR="0">
            <wp:extent cx="1000125" cy="1085850"/>
            <wp:effectExtent l="1905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p w:rsidR="00713E67" w:rsidRDefault="0023153A" w:rsidP="00713E67">
      <w:pPr>
        <w:pStyle w:val="Bezmezer"/>
        <w:numPr>
          <w:ilvl w:val="0"/>
          <w:numId w:val="7"/>
        </w:numPr>
        <w:jc w:val="both"/>
      </w:pPr>
      <w:r>
        <w:t>Nastavení tlaku</w:t>
      </w:r>
    </w:p>
    <w:p w:rsidR="00833849" w:rsidRDefault="00833849" w:rsidP="00833849">
      <w:pPr>
        <w:pStyle w:val="Bezmezer"/>
        <w:jc w:val="both"/>
      </w:pPr>
      <w:r>
        <w:t xml:space="preserve">I = </w:t>
      </w:r>
      <w:r w:rsidR="00746E75">
        <w:t>Jemné</w:t>
      </w:r>
      <w:r>
        <w:t xml:space="preserve"> vaření</w:t>
      </w:r>
    </w:p>
    <w:p w:rsidR="00833849" w:rsidRDefault="00833849" w:rsidP="00833849">
      <w:pPr>
        <w:pStyle w:val="Bezmezer"/>
        <w:jc w:val="both"/>
      </w:pPr>
      <w:r>
        <w:t>II = Rychlé vaření</w:t>
      </w:r>
    </w:p>
    <w:p w:rsidR="0012247E" w:rsidRDefault="0012247E" w:rsidP="0012247E">
      <w:pPr>
        <w:pStyle w:val="Bezmezer"/>
        <w:jc w:val="center"/>
      </w:pPr>
      <w:r>
        <w:rPr>
          <w:noProof/>
          <w:lang w:eastAsia="cs-CZ"/>
        </w:rPr>
        <w:drawing>
          <wp:inline distT="0" distB="0" distL="0" distR="0">
            <wp:extent cx="1209675" cy="866775"/>
            <wp:effectExtent l="1905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209675" cy="866775"/>
                    </a:xfrm>
                    <a:prstGeom prst="rect">
                      <a:avLst/>
                    </a:prstGeom>
                    <a:noFill/>
                    <a:ln w="9525">
                      <a:noFill/>
                      <a:miter lim="800000"/>
                      <a:headEnd/>
                      <a:tailEnd/>
                    </a:ln>
                  </pic:spPr>
                </pic:pic>
              </a:graphicData>
            </a:graphic>
          </wp:inline>
        </w:drawing>
      </w:r>
    </w:p>
    <w:p w:rsidR="00713E67" w:rsidRDefault="000D7A3C" w:rsidP="00713E67">
      <w:pPr>
        <w:pStyle w:val="Bezmezer"/>
        <w:numPr>
          <w:ilvl w:val="0"/>
          <w:numId w:val="7"/>
        </w:numPr>
        <w:jc w:val="both"/>
      </w:pPr>
      <w:r>
        <w:t>Nastavte ohřev na nejvyšší teplotní stupeň</w:t>
      </w:r>
    </w:p>
    <w:p w:rsidR="00713E67" w:rsidRDefault="000D7A3C" w:rsidP="00713E67">
      <w:pPr>
        <w:pStyle w:val="Bezmezer"/>
        <w:numPr>
          <w:ilvl w:val="0"/>
          <w:numId w:val="7"/>
        </w:numPr>
        <w:jc w:val="both"/>
      </w:pPr>
      <w:r>
        <w:t>Když se v hrnci začne hromadit tlak – nastavte ohřev na nejnižší teplotní stupeň, jakmile pára začne unikat ventilem.</w:t>
      </w:r>
    </w:p>
    <w:p w:rsidR="00713E67" w:rsidRDefault="000D7A3C" w:rsidP="00713E67">
      <w:pPr>
        <w:pStyle w:val="Bezmezer"/>
        <w:numPr>
          <w:ilvl w:val="0"/>
          <w:numId w:val="7"/>
        </w:numPr>
        <w:jc w:val="both"/>
      </w:pPr>
      <w:r>
        <w:t>Když uplyne čas na vaření, vypněte ohřev!</w:t>
      </w:r>
      <w:r w:rsidR="00746E75">
        <w:t xml:space="preserve"> Sejměte hrnec z tepelného zdroje.</w:t>
      </w:r>
    </w:p>
    <w:p w:rsidR="00713E67" w:rsidRDefault="00D149B3" w:rsidP="00713E67">
      <w:pPr>
        <w:pStyle w:val="Bezmezer"/>
        <w:numPr>
          <w:ilvl w:val="0"/>
          <w:numId w:val="7"/>
        </w:numPr>
        <w:jc w:val="both"/>
      </w:pPr>
      <w:r>
        <w:t>Pomalu nechte uniknout páru.</w:t>
      </w:r>
    </w:p>
    <w:p w:rsidR="00D149B3" w:rsidRDefault="00D149B3" w:rsidP="00D149B3">
      <w:pPr>
        <w:pStyle w:val="Bezmezer"/>
        <w:jc w:val="both"/>
      </w:pPr>
      <w:r>
        <w:t xml:space="preserve">Pomalu otočte tlakový ventil z pozice </w:t>
      </w:r>
      <w:r>
        <w:rPr>
          <w:noProof/>
          <w:lang w:eastAsia="cs-CZ"/>
        </w:rPr>
        <w:drawing>
          <wp:inline distT="0" distB="0" distL="0" distR="0">
            <wp:extent cx="114300" cy="187779"/>
            <wp:effectExtent l="19050" t="0" r="0" b="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14300" cy="187779"/>
                    </a:xfrm>
                    <a:prstGeom prst="rect">
                      <a:avLst/>
                    </a:prstGeom>
                    <a:noFill/>
                    <a:ln w="9525">
                      <a:noFill/>
                      <a:miter lim="800000"/>
                      <a:headEnd/>
                      <a:tailEnd/>
                    </a:ln>
                  </pic:spPr>
                </pic:pic>
              </a:graphicData>
            </a:graphic>
          </wp:inline>
        </w:drawing>
      </w:r>
      <w:r>
        <w:t xml:space="preserve"> do pozice </w:t>
      </w:r>
      <w:r>
        <w:rPr>
          <w:noProof/>
          <w:lang w:eastAsia="cs-CZ"/>
        </w:rPr>
        <w:drawing>
          <wp:inline distT="0" distB="0" distL="0" distR="0">
            <wp:extent cx="247650" cy="238125"/>
            <wp:effectExtent l="19050" t="0" r="0" b="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t>.</w:t>
      </w:r>
    </w:p>
    <w:p w:rsidR="00D149B3" w:rsidRDefault="00D149B3" w:rsidP="00D149B3">
      <w:pPr>
        <w:pStyle w:val="Bezmezer"/>
        <w:jc w:val="both"/>
      </w:pPr>
      <w:r>
        <w:lastRenderedPageBreak/>
        <w:t xml:space="preserve">Neotáčejte z pozice </w:t>
      </w:r>
      <w:r>
        <w:rPr>
          <w:noProof/>
          <w:lang w:eastAsia="cs-CZ"/>
        </w:rPr>
        <w:drawing>
          <wp:inline distT="0" distB="0" distL="0" distR="0">
            <wp:extent cx="114300" cy="187779"/>
            <wp:effectExtent l="19050" t="0" r="0" b="0"/>
            <wp:docPr id="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14300" cy="187779"/>
                    </a:xfrm>
                    <a:prstGeom prst="rect">
                      <a:avLst/>
                    </a:prstGeom>
                    <a:noFill/>
                    <a:ln w="9525">
                      <a:noFill/>
                      <a:miter lim="800000"/>
                      <a:headEnd/>
                      <a:tailEnd/>
                    </a:ln>
                  </pic:spPr>
                </pic:pic>
              </a:graphicData>
            </a:graphic>
          </wp:inline>
        </w:drawing>
      </w:r>
      <w:r>
        <w:t xml:space="preserve"> do pozice </w:t>
      </w:r>
      <w:r>
        <w:rPr>
          <w:noProof/>
          <w:lang w:eastAsia="cs-CZ"/>
        </w:rPr>
        <w:drawing>
          <wp:inline distT="0" distB="0" distL="0" distR="0">
            <wp:extent cx="247650" cy="238125"/>
            <wp:effectExtent l="19050" t="0" r="0" b="0"/>
            <wp:docPr id="1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t xml:space="preserve"> přímo. Otočte nejprve z pozice </w:t>
      </w:r>
      <w:r w:rsidRPr="00D149B3">
        <w:rPr>
          <w:noProof/>
          <w:lang w:eastAsia="cs-CZ"/>
        </w:rPr>
        <w:drawing>
          <wp:inline distT="0" distB="0" distL="0" distR="0">
            <wp:extent cx="114300" cy="187779"/>
            <wp:effectExtent l="19050" t="0" r="0" b="0"/>
            <wp:docPr id="1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14300" cy="187779"/>
                    </a:xfrm>
                    <a:prstGeom prst="rect">
                      <a:avLst/>
                    </a:prstGeom>
                    <a:noFill/>
                    <a:ln w="9525">
                      <a:noFill/>
                      <a:miter lim="800000"/>
                      <a:headEnd/>
                      <a:tailEnd/>
                    </a:ln>
                  </pic:spPr>
                </pic:pic>
              </a:graphicData>
            </a:graphic>
          </wp:inline>
        </w:drawing>
      </w:r>
      <w:r>
        <w:t xml:space="preserve"> do pozice </w:t>
      </w:r>
      <w:r>
        <w:rPr>
          <w:noProof/>
          <w:lang w:eastAsia="cs-CZ"/>
        </w:rPr>
        <w:drawing>
          <wp:inline distT="0" distB="0" distL="0" distR="0">
            <wp:extent cx="95250" cy="228600"/>
            <wp:effectExtent l="19050" t="0" r="0" b="0"/>
            <wp:docPr id="1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95250" cy="228600"/>
                    </a:xfrm>
                    <a:prstGeom prst="rect">
                      <a:avLst/>
                    </a:prstGeom>
                    <a:noFill/>
                    <a:ln w="9525">
                      <a:noFill/>
                      <a:miter lim="800000"/>
                      <a:headEnd/>
                      <a:tailEnd/>
                    </a:ln>
                  </pic:spPr>
                </pic:pic>
              </a:graphicData>
            </a:graphic>
          </wp:inline>
        </w:drawing>
      </w:r>
      <w:r>
        <w:t xml:space="preserve">, počkejte několik vteřin a poté otočte z pozice </w:t>
      </w:r>
      <w:r w:rsidRPr="00D149B3">
        <w:rPr>
          <w:noProof/>
          <w:lang w:eastAsia="cs-CZ"/>
        </w:rPr>
        <w:drawing>
          <wp:inline distT="0" distB="0" distL="0" distR="0">
            <wp:extent cx="95250" cy="228600"/>
            <wp:effectExtent l="19050" t="0" r="0" b="0"/>
            <wp:docPr id="1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95250" cy="228600"/>
                    </a:xfrm>
                    <a:prstGeom prst="rect">
                      <a:avLst/>
                    </a:prstGeom>
                    <a:noFill/>
                    <a:ln w="9525">
                      <a:noFill/>
                      <a:miter lim="800000"/>
                      <a:headEnd/>
                      <a:tailEnd/>
                    </a:ln>
                  </pic:spPr>
                </pic:pic>
              </a:graphicData>
            </a:graphic>
          </wp:inline>
        </w:drawing>
      </w:r>
      <w:r>
        <w:t xml:space="preserve"> do pozice </w:t>
      </w:r>
      <w:r w:rsidRPr="00D149B3">
        <w:rPr>
          <w:noProof/>
          <w:lang w:eastAsia="cs-CZ"/>
        </w:rPr>
        <w:drawing>
          <wp:inline distT="0" distB="0" distL="0" distR="0">
            <wp:extent cx="247650" cy="238125"/>
            <wp:effectExtent l="19050" t="0" r="0" b="0"/>
            <wp:docPr id="17"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t>.</w:t>
      </w:r>
    </w:p>
    <w:p w:rsidR="00D149B3" w:rsidRDefault="00D149B3" w:rsidP="00D149B3">
      <w:pPr>
        <w:pStyle w:val="Bezmezer"/>
        <w:jc w:val="both"/>
      </w:pPr>
      <w:r>
        <w:t xml:space="preserve">Když vaříte na pozici </w:t>
      </w:r>
      <w:r w:rsidRPr="00D149B3">
        <w:rPr>
          <w:noProof/>
          <w:lang w:eastAsia="cs-CZ"/>
        </w:rPr>
        <w:drawing>
          <wp:inline distT="0" distB="0" distL="0" distR="0">
            <wp:extent cx="95250" cy="228600"/>
            <wp:effectExtent l="19050" t="0" r="0" b="0"/>
            <wp:docPr id="18"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95250" cy="228600"/>
                    </a:xfrm>
                    <a:prstGeom prst="rect">
                      <a:avLst/>
                    </a:prstGeom>
                    <a:noFill/>
                    <a:ln w="9525">
                      <a:noFill/>
                      <a:miter lim="800000"/>
                      <a:headEnd/>
                      <a:tailEnd/>
                    </a:ln>
                  </pic:spPr>
                </pic:pic>
              </a:graphicData>
            </a:graphic>
          </wp:inline>
        </w:drawing>
      </w:r>
      <w:r>
        <w:t xml:space="preserve">, můžete otočit do pozice </w:t>
      </w:r>
      <w:r w:rsidRPr="00D149B3">
        <w:rPr>
          <w:noProof/>
          <w:lang w:eastAsia="cs-CZ"/>
        </w:rPr>
        <w:drawing>
          <wp:inline distT="0" distB="0" distL="0" distR="0">
            <wp:extent cx="247650" cy="238125"/>
            <wp:effectExtent l="19050" t="0" r="0" b="0"/>
            <wp:docPr id="1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t xml:space="preserve"> přímo.</w:t>
      </w:r>
    </w:p>
    <w:p w:rsidR="00454624" w:rsidRDefault="00454624" w:rsidP="00D149B3">
      <w:pPr>
        <w:pStyle w:val="Bezmezer"/>
        <w:jc w:val="both"/>
      </w:pPr>
      <w:r>
        <w:t>Upozornění: Unikající pára je extrémně horká.</w:t>
      </w:r>
    </w:p>
    <w:p w:rsidR="00746E75" w:rsidRDefault="00746E75" w:rsidP="00746E75">
      <w:pPr>
        <w:pStyle w:val="Bezmezer"/>
        <w:jc w:val="both"/>
      </w:pPr>
      <w:r>
        <w:t>Proces úniku páry můžete urychlit umístěním hrnce pod tekoucí vodu. Hrnec však neponořujte do vody celým objemem, ale pouze nechte proud vody stékat po kovovém těle hrnce. Dejte pozor, aby voda nestékala po plastových částech, mohlo by dojít k jejich poškození.</w:t>
      </w:r>
    </w:p>
    <w:p w:rsidR="00713E67" w:rsidRDefault="00454624" w:rsidP="00713E67">
      <w:pPr>
        <w:pStyle w:val="Bezmezer"/>
        <w:numPr>
          <w:ilvl w:val="0"/>
          <w:numId w:val="7"/>
        </w:numPr>
        <w:jc w:val="both"/>
      </w:pPr>
      <w:r>
        <w:t>S otevřením hrnce vyčkejte</w:t>
      </w:r>
      <w:r w:rsidR="00C45771">
        <w:t>,</w:t>
      </w:r>
      <w:r>
        <w:t xml:space="preserve"> dokud neunikne veškerá pára</w:t>
      </w:r>
      <w:r w:rsidR="00C45771">
        <w:t>, poté můžete vypnout tlakový hrnec. Následně můžete víko odejmout.</w:t>
      </w:r>
    </w:p>
    <w:p w:rsidR="00713E67" w:rsidRPr="00746E75" w:rsidRDefault="00713E67" w:rsidP="00713E67">
      <w:pPr>
        <w:pStyle w:val="Bezmezer"/>
        <w:jc w:val="both"/>
        <w:rPr>
          <w:b/>
          <w:u w:val="single"/>
        </w:rPr>
      </w:pPr>
      <w:r w:rsidRPr="00746E75">
        <w:rPr>
          <w:b/>
          <w:u w:val="single"/>
        </w:rPr>
        <w:t>UPOZORNĚNÍ: Nikdy neotevírejte víko silou</w:t>
      </w:r>
      <w:r w:rsidR="00746E75">
        <w:rPr>
          <w:b/>
          <w:u w:val="single"/>
        </w:rPr>
        <w:t>/násilím</w:t>
      </w:r>
      <w:r w:rsidRPr="00746E75">
        <w:rPr>
          <w:b/>
          <w:u w:val="single"/>
        </w:rPr>
        <w:t>!</w:t>
      </w:r>
    </w:p>
    <w:p w:rsidR="00713E67" w:rsidRDefault="00713E67" w:rsidP="00713E67">
      <w:pPr>
        <w:pStyle w:val="Bezmezer"/>
        <w:jc w:val="both"/>
      </w:pPr>
    </w:p>
    <w:p w:rsidR="00C45771" w:rsidRDefault="00C45771" w:rsidP="00713E67">
      <w:pPr>
        <w:pStyle w:val="Bezmezer"/>
        <w:jc w:val="both"/>
      </w:pPr>
      <w:r>
        <w:t>Ventil regulace tlaku, umožňuje rozličná nastavení.</w:t>
      </w:r>
    </w:p>
    <w:p w:rsidR="00C45771" w:rsidRDefault="00C45771" w:rsidP="00713E67">
      <w:pPr>
        <w:pStyle w:val="Bezmezer"/>
        <w:jc w:val="both"/>
      </w:pPr>
      <w:r>
        <w:t>Ventil drží tlak a teplotu automaticky na následujících hodnotách:</w:t>
      </w:r>
    </w:p>
    <w:p w:rsidR="00C45771" w:rsidRDefault="00C45771" w:rsidP="00713E67">
      <w:pPr>
        <w:pStyle w:val="Bezmezer"/>
        <w:jc w:val="both"/>
      </w:pPr>
      <w:r>
        <w:t>Pozice I (</w:t>
      </w:r>
      <w:r w:rsidR="00746E75">
        <w:t>jemné</w:t>
      </w:r>
      <w:r>
        <w:t xml:space="preserve"> vaření) – 60 </w:t>
      </w:r>
      <w:proofErr w:type="spellStart"/>
      <w:r>
        <w:t>kPa</w:t>
      </w:r>
      <w:proofErr w:type="spellEnd"/>
      <w:r>
        <w:t xml:space="preserve"> přibližně 113°C.</w:t>
      </w:r>
    </w:p>
    <w:p w:rsidR="00C45771" w:rsidRDefault="00C45771" w:rsidP="00713E67">
      <w:pPr>
        <w:pStyle w:val="Bezmezer"/>
        <w:jc w:val="both"/>
      </w:pPr>
      <w:r>
        <w:t xml:space="preserve">Pozice II (rychlé vaření) – 90 </w:t>
      </w:r>
      <w:proofErr w:type="spellStart"/>
      <w:r>
        <w:t>kPa</w:t>
      </w:r>
      <w:proofErr w:type="spellEnd"/>
      <w:r>
        <w:t xml:space="preserve"> přibližně 120°C.</w:t>
      </w:r>
    </w:p>
    <w:p w:rsidR="00C45771" w:rsidRDefault="00C45771" w:rsidP="00713E67">
      <w:pPr>
        <w:pStyle w:val="Bezmezer"/>
        <w:jc w:val="both"/>
      </w:pPr>
      <w:r>
        <w:t>Pozice pro uvolnění tlaku.</w:t>
      </w:r>
    </w:p>
    <w:p w:rsidR="00C45771" w:rsidRDefault="00C45771" w:rsidP="00713E67">
      <w:pPr>
        <w:pStyle w:val="Bezmezer"/>
        <w:jc w:val="both"/>
      </w:pPr>
      <w:r>
        <w:t>Pozice pro čištění ventilu.</w:t>
      </w:r>
    </w:p>
    <w:p w:rsidR="00C45771" w:rsidRDefault="00C45771" w:rsidP="00713E67">
      <w:pPr>
        <w:pStyle w:val="Bezmezer"/>
        <w:jc w:val="both"/>
      </w:pPr>
      <w:r>
        <w:t xml:space="preserve">Bezpečnostní ventil reaguje při 1,7 bar (170 </w:t>
      </w:r>
      <w:proofErr w:type="spellStart"/>
      <w:r>
        <w:t>kPa</w:t>
      </w:r>
      <w:proofErr w:type="spellEnd"/>
      <w:r>
        <w:t xml:space="preserve">) – ventil se otevře a uvolní tlak, maximální přípustný tlak pro tento hrnec: 2,7 bar (270 </w:t>
      </w:r>
      <w:proofErr w:type="spellStart"/>
      <w:r>
        <w:t>kPa</w:t>
      </w:r>
      <w:proofErr w:type="spellEnd"/>
      <w:r>
        <w:t>).</w:t>
      </w:r>
    </w:p>
    <w:p w:rsidR="00C45771" w:rsidRDefault="00C45771" w:rsidP="00713E67">
      <w:pPr>
        <w:pStyle w:val="Bezmezer"/>
        <w:jc w:val="both"/>
      </w:pPr>
    </w:p>
    <w:p w:rsidR="00713E67" w:rsidRPr="00713E67" w:rsidRDefault="00713E67" w:rsidP="00713E67">
      <w:pPr>
        <w:pStyle w:val="Bezmezer"/>
        <w:jc w:val="both"/>
        <w:rPr>
          <w:b/>
        </w:rPr>
      </w:pPr>
      <w:r w:rsidRPr="00713E67">
        <w:rPr>
          <w:b/>
        </w:rPr>
        <w:t>Bezpečnostní ventil:</w:t>
      </w:r>
    </w:p>
    <w:p w:rsidR="00713E67" w:rsidRDefault="004D12AD" w:rsidP="00713E67">
      <w:pPr>
        <w:pStyle w:val="Bezmezer"/>
        <w:jc w:val="both"/>
      </w:pPr>
      <w:r>
        <w:t>Zatímco tlak v hrnci vzrůstá, červený indikátor tlaku je viditelný</w:t>
      </w:r>
      <w:r w:rsidR="00862696">
        <w:t xml:space="preserve"> a hrnec je uzavřený (nikdy se nepokoušejte jej otevřít silou). Pokud není tlakový indikátor viditelný, hrnec již není pod tlakem. Můžete jej otevřít. Pokud z jakéhokoliv neočekávaného důvodu neuvolní tlak ventil regulace tlaku tak jak by měl, bezpečnostní ventil uvolní tlak dle výše uvedených hodnot.</w:t>
      </w:r>
    </w:p>
    <w:p w:rsidR="0012247E" w:rsidRDefault="0012247E" w:rsidP="0012247E">
      <w:pPr>
        <w:pStyle w:val="Bezmezer"/>
        <w:jc w:val="center"/>
      </w:pPr>
      <w:r>
        <w:rPr>
          <w:noProof/>
          <w:lang w:eastAsia="cs-CZ"/>
        </w:rPr>
        <w:drawing>
          <wp:inline distT="0" distB="0" distL="0" distR="0">
            <wp:extent cx="1171575" cy="771525"/>
            <wp:effectExtent l="1905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171575" cy="771525"/>
                    </a:xfrm>
                    <a:prstGeom prst="rect">
                      <a:avLst/>
                    </a:prstGeom>
                    <a:noFill/>
                    <a:ln w="9525">
                      <a:noFill/>
                      <a:miter lim="800000"/>
                      <a:headEnd/>
                      <a:tailEnd/>
                    </a:ln>
                  </pic:spPr>
                </pic:pic>
              </a:graphicData>
            </a:graphic>
          </wp:inline>
        </w:drawing>
      </w:r>
    </w:p>
    <w:p w:rsidR="00713E67" w:rsidRPr="00713E67" w:rsidRDefault="00713E67" w:rsidP="00713E67">
      <w:pPr>
        <w:pStyle w:val="Bezmezer"/>
        <w:jc w:val="both"/>
        <w:rPr>
          <w:b/>
        </w:rPr>
      </w:pPr>
      <w:r w:rsidRPr="00713E67">
        <w:rPr>
          <w:b/>
        </w:rPr>
        <w:t>Otevírací/uzavírací systém:</w:t>
      </w:r>
    </w:p>
    <w:p w:rsidR="00713E67" w:rsidRDefault="0018782B" w:rsidP="00713E67">
      <w:pPr>
        <w:pStyle w:val="Bezmezer"/>
        <w:jc w:val="both"/>
      </w:pPr>
      <w:r>
        <w:t xml:space="preserve">Otevírání a uzavírání tlakového víka, je ovládáno prostřednictvím stisku tlačítek </w:t>
      </w:r>
      <w:r w:rsidRPr="0018782B">
        <w:rPr>
          <w:noProof/>
          <w:lang w:eastAsia="cs-CZ"/>
        </w:rPr>
        <w:drawing>
          <wp:inline distT="0" distB="0" distL="0" distR="0">
            <wp:extent cx="226899" cy="219075"/>
            <wp:effectExtent l="19050" t="0" r="1701" b="0"/>
            <wp:docPr id="2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26899" cy="219075"/>
                    </a:xfrm>
                    <a:prstGeom prst="rect">
                      <a:avLst/>
                    </a:prstGeom>
                    <a:noFill/>
                    <a:ln w="9525">
                      <a:noFill/>
                      <a:miter lim="800000"/>
                      <a:headEnd/>
                      <a:tailEnd/>
                    </a:ln>
                  </pic:spPr>
                </pic:pic>
              </a:graphicData>
            </a:graphic>
          </wp:inline>
        </w:drawing>
      </w:r>
      <w:r>
        <w:t xml:space="preserve"> a </w:t>
      </w:r>
      <w:r w:rsidRPr="0018782B">
        <w:rPr>
          <w:noProof/>
          <w:lang w:eastAsia="cs-CZ"/>
        </w:rPr>
        <w:drawing>
          <wp:inline distT="0" distB="0" distL="0" distR="0">
            <wp:extent cx="180975" cy="209550"/>
            <wp:effectExtent l="19050" t="0" r="9525" b="0"/>
            <wp:docPr id="2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t>. Odstraňte víko z hrnce a po naplnění/vyprázdnění jej nasaďte na hrnec zpříma.</w:t>
      </w:r>
    </w:p>
    <w:p w:rsidR="0018782B" w:rsidRDefault="0018782B" w:rsidP="00713E67">
      <w:pPr>
        <w:pStyle w:val="Bezmezer"/>
        <w:jc w:val="both"/>
      </w:pPr>
      <w:r>
        <w:t>Varování! Nechte uniknout páru z hrnce před jeho otevřením – nikdy neotevírejte hrnec silou!</w:t>
      </w:r>
    </w:p>
    <w:p w:rsidR="0018782B" w:rsidRDefault="0018782B" w:rsidP="00713E67">
      <w:pPr>
        <w:pStyle w:val="Bezmezer"/>
        <w:jc w:val="both"/>
      </w:pPr>
    </w:p>
    <w:p w:rsidR="00713E67" w:rsidRPr="00713E67" w:rsidRDefault="00713E67" w:rsidP="00713E67">
      <w:pPr>
        <w:pStyle w:val="Bezmezer"/>
        <w:jc w:val="both"/>
        <w:rPr>
          <w:b/>
        </w:rPr>
      </w:pPr>
      <w:r w:rsidRPr="00713E67">
        <w:rPr>
          <w:b/>
        </w:rPr>
        <w:t>Bezpečnostní průzor:</w:t>
      </w:r>
    </w:p>
    <w:p w:rsidR="00713E67" w:rsidRDefault="0018782B" w:rsidP="00713E67">
      <w:pPr>
        <w:pStyle w:val="Bezmezer"/>
        <w:jc w:val="both"/>
      </w:pPr>
      <w:r>
        <w:t>Přídavný bezpečnostní prvek je bezpečnostní průzor na vrchu hrnce. Pokud je uvnitř hrnce nadměrný tlak, těsnící kroužek se uvolní prostřednictvím tohoto průzoru a tlak může uniknout.</w:t>
      </w:r>
    </w:p>
    <w:p w:rsidR="0012247E" w:rsidRDefault="0012247E" w:rsidP="0012247E">
      <w:pPr>
        <w:pStyle w:val="Bezmezer"/>
        <w:jc w:val="center"/>
      </w:pPr>
      <w:r>
        <w:rPr>
          <w:noProof/>
          <w:lang w:eastAsia="cs-CZ"/>
        </w:rPr>
        <w:drawing>
          <wp:inline distT="0" distB="0" distL="0" distR="0">
            <wp:extent cx="1152525" cy="762000"/>
            <wp:effectExtent l="19050" t="0" r="9525"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152525" cy="762000"/>
                    </a:xfrm>
                    <a:prstGeom prst="rect">
                      <a:avLst/>
                    </a:prstGeom>
                    <a:noFill/>
                    <a:ln w="9525">
                      <a:noFill/>
                      <a:miter lim="800000"/>
                      <a:headEnd/>
                      <a:tailEnd/>
                    </a:ln>
                  </pic:spPr>
                </pic:pic>
              </a:graphicData>
            </a:graphic>
          </wp:inline>
        </w:drawing>
      </w:r>
    </w:p>
    <w:p w:rsidR="00713E67" w:rsidRPr="00713E67" w:rsidRDefault="00713E67" w:rsidP="00713E67">
      <w:pPr>
        <w:pStyle w:val="Bezmezer"/>
        <w:jc w:val="both"/>
        <w:rPr>
          <w:b/>
        </w:rPr>
      </w:pPr>
      <w:r w:rsidRPr="00713E67">
        <w:rPr>
          <w:b/>
        </w:rPr>
        <w:t>Víko s těsnícím kroužkem:</w:t>
      </w:r>
    </w:p>
    <w:p w:rsidR="00713E67" w:rsidRDefault="002950CA" w:rsidP="00713E67">
      <w:pPr>
        <w:pStyle w:val="Bezmezer"/>
        <w:jc w:val="both"/>
      </w:pPr>
      <w:r>
        <w:t>Těsnící kroužky jsou spotřební materiál a musí být vyměněny v případě opotřebení.</w:t>
      </w:r>
    </w:p>
    <w:p w:rsidR="002950CA" w:rsidRDefault="002950CA" w:rsidP="00713E67">
      <w:pPr>
        <w:pStyle w:val="Bezmezer"/>
        <w:jc w:val="both"/>
      </w:pPr>
      <w:r>
        <w:t xml:space="preserve">Upozornění: S hrncem je možno používat pouze příslušné originální díly </w:t>
      </w:r>
      <w:proofErr w:type="spellStart"/>
      <w:r>
        <w:t>Korkmaz</w:t>
      </w:r>
      <w:proofErr w:type="spellEnd"/>
      <w:r>
        <w:t>.</w:t>
      </w:r>
    </w:p>
    <w:p w:rsidR="002950CA" w:rsidRDefault="002950CA" w:rsidP="00713E67">
      <w:pPr>
        <w:pStyle w:val="Bezmezer"/>
        <w:jc w:val="both"/>
      </w:pPr>
    </w:p>
    <w:p w:rsidR="00713E67" w:rsidRPr="00713E67" w:rsidRDefault="00713E67" w:rsidP="00713E67">
      <w:pPr>
        <w:pStyle w:val="Bezmezer"/>
        <w:jc w:val="both"/>
        <w:rPr>
          <w:b/>
        </w:rPr>
      </w:pPr>
      <w:r w:rsidRPr="00713E67">
        <w:rPr>
          <w:b/>
        </w:rPr>
        <w:t>Hrnec:</w:t>
      </w:r>
    </w:p>
    <w:p w:rsidR="002950CA" w:rsidRDefault="009808A0" w:rsidP="00713E67">
      <w:pPr>
        <w:pStyle w:val="Bezmezer"/>
        <w:jc w:val="both"/>
      </w:pPr>
      <w:r>
        <w:t>Hrnce je vyroben z vysoce kvalitní nerezové 18/10 oceli.</w:t>
      </w:r>
    </w:p>
    <w:p w:rsidR="009808A0" w:rsidRDefault="009808A0" w:rsidP="00713E67">
      <w:pPr>
        <w:pStyle w:val="Bezmezer"/>
        <w:jc w:val="both"/>
      </w:pPr>
    </w:p>
    <w:p w:rsidR="00713E67" w:rsidRPr="00713E67" w:rsidRDefault="00746E75" w:rsidP="00713E67">
      <w:pPr>
        <w:pStyle w:val="Bezmezer"/>
        <w:jc w:val="both"/>
        <w:rPr>
          <w:b/>
        </w:rPr>
      </w:pPr>
      <w:r>
        <w:rPr>
          <w:b/>
        </w:rPr>
        <w:lastRenderedPageBreak/>
        <w:t>Tepelná báze</w:t>
      </w:r>
      <w:r w:rsidR="00713E67" w:rsidRPr="00713E67">
        <w:rPr>
          <w:b/>
        </w:rPr>
        <w:t>:</w:t>
      </w:r>
    </w:p>
    <w:p w:rsidR="0012247E" w:rsidRDefault="009808A0" w:rsidP="00713E67">
      <w:pPr>
        <w:pStyle w:val="Bezmezer"/>
        <w:jc w:val="both"/>
      </w:pPr>
      <w:r>
        <w:t>Super-siln</w:t>
      </w:r>
      <w:r w:rsidR="00746E75">
        <w:t>á</w:t>
      </w:r>
      <w:r>
        <w:t xml:space="preserve"> </w:t>
      </w:r>
      <w:r w:rsidR="00746E75">
        <w:t>tepelná báze</w:t>
      </w:r>
      <w:r>
        <w:t xml:space="preserve"> pro všechny typy. Je absolutně stabilní, garantuje nejvyšší ohřívací vlastnosti a úsporu energie.</w:t>
      </w:r>
      <w:r w:rsidR="0012247E">
        <w:rPr>
          <w:noProof/>
          <w:lang w:eastAsia="cs-CZ"/>
        </w:rPr>
        <w:drawing>
          <wp:inline distT="0" distB="0" distL="0" distR="0">
            <wp:extent cx="1190625" cy="253883"/>
            <wp:effectExtent l="19050" t="0" r="9525" b="0"/>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190625" cy="253883"/>
                    </a:xfrm>
                    <a:prstGeom prst="rect">
                      <a:avLst/>
                    </a:prstGeom>
                    <a:noFill/>
                    <a:ln w="9525">
                      <a:noFill/>
                      <a:miter lim="800000"/>
                      <a:headEnd/>
                      <a:tailEnd/>
                    </a:ln>
                  </pic:spPr>
                </pic:pic>
              </a:graphicData>
            </a:graphic>
          </wp:inline>
        </w:drawing>
      </w:r>
    </w:p>
    <w:p w:rsidR="00713E67" w:rsidRPr="00713E67" w:rsidRDefault="00713E67" w:rsidP="00713E67">
      <w:pPr>
        <w:pStyle w:val="Bezmezer"/>
        <w:jc w:val="both"/>
        <w:rPr>
          <w:b/>
        </w:rPr>
      </w:pPr>
      <w:r w:rsidRPr="00713E67">
        <w:rPr>
          <w:b/>
        </w:rPr>
        <w:t>Před vařením</w:t>
      </w:r>
    </w:p>
    <w:p w:rsidR="00713E67" w:rsidRDefault="009808A0" w:rsidP="00713E67">
      <w:pPr>
        <w:pStyle w:val="Bezmezer"/>
        <w:jc w:val="both"/>
      </w:pPr>
      <w:r>
        <w:t>Před každým vařením se ujistěte, že bezpečnostní uzavírací systém, regulátor tlaku a těsnící kroužek jsou čisté a funkční. Také zkontrolujte, že bezpečnostní ventil se může pohnout.</w:t>
      </w:r>
    </w:p>
    <w:p w:rsidR="006E225F" w:rsidRPr="00713E67" w:rsidRDefault="006E225F" w:rsidP="00713E67">
      <w:pPr>
        <w:pStyle w:val="Bezmezer"/>
        <w:jc w:val="both"/>
      </w:pPr>
      <w:r w:rsidRPr="006E225F">
        <w:rPr>
          <w:b/>
        </w:rPr>
        <w:t>UPOZORNĚNÍ:</w:t>
      </w:r>
      <w:r>
        <w:t xml:space="preserve"> Vždy přidejte příslušnou tekutinu. NIKDY nenechte vařit tlakový hrnec „nasucho“!</w:t>
      </w:r>
    </w:p>
    <w:p w:rsidR="0094284A" w:rsidRDefault="0094284A" w:rsidP="00D34667">
      <w:pPr>
        <w:pStyle w:val="Bezmezer"/>
        <w:jc w:val="both"/>
      </w:pPr>
    </w:p>
    <w:p w:rsidR="00713E67" w:rsidRPr="00713E67" w:rsidRDefault="00713E67" w:rsidP="00D34667">
      <w:pPr>
        <w:pStyle w:val="Bezmezer"/>
        <w:jc w:val="both"/>
        <w:rPr>
          <w:b/>
        </w:rPr>
      </w:pPr>
      <w:r w:rsidRPr="00713E67">
        <w:rPr>
          <w:b/>
        </w:rPr>
        <w:t>Často kladené otázky</w:t>
      </w:r>
    </w:p>
    <w:p w:rsidR="00713E67" w:rsidRDefault="00E67BD2" w:rsidP="00713E67">
      <w:pPr>
        <w:pStyle w:val="Bezmezer"/>
        <w:numPr>
          <w:ilvl w:val="0"/>
          <w:numId w:val="5"/>
        </w:numPr>
        <w:jc w:val="both"/>
      </w:pPr>
      <w:r>
        <w:t>Přivedení hrnce k varu, trvá dlouhou dobu:</w:t>
      </w:r>
    </w:p>
    <w:p w:rsidR="00E67BD2" w:rsidRDefault="00E67BD2" w:rsidP="00E67BD2">
      <w:pPr>
        <w:pStyle w:val="Bezmezer"/>
        <w:numPr>
          <w:ilvl w:val="1"/>
          <w:numId w:val="5"/>
        </w:numPr>
        <w:jc w:val="both"/>
      </w:pPr>
      <w:r>
        <w:t>Zdroj tepla není dostačující</w:t>
      </w:r>
      <w:r w:rsidR="004D16CD">
        <w:t>.</w:t>
      </w:r>
    </w:p>
    <w:p w:rsidR="00E67BD2" w:rsidRDefault="00E67BD2" w:rsidP="00E67BD2">
      <w:pPr>
        <w:pStyle w:val="Bezmezer"/>
        <w:numPr>
          <w:ilvl w:val="1"/>
          <w:numId w:val="5"/>
        </w:numPr>
        <w:jc w:val="both"/>
      </w:pPr>
      <w:r>
        <w:t>Zapněte zdroj tepla na maximální výkon</w:t>
      </w:r>
      <w:r w:rsidR="004D16CD">
        <w:t>.</w:t>
      </w:r>
    </w:p>
    <w:p w:rsidR="00E67BD2" w:rsidRDefault="00E67BD2" w:rsidP="00713E67">
      <w:pPr>
        <w:pStyle w:val="Bezmezer"/>
        <w:numPr>
          <w:ilvl w:val="0"/>
          <w:numId w:val="5"/>
        </w:numPr>
        <w:jc w:val="both"/>
      </w:pPr>
      <w:r>
        <w:t>Pokud červený kolík bezpečnostního ventilu nestoupne, pára neuniká z ventilu během vaření:</w:t>
      </w:r>
    </w:p>
    <w:p w:rsidR="00E67BD2" w:rsidRDefault="004D16CD" w:rsidP="00E67BD2">
      <w:pPr>
        <w:pStyle w:val="Bezmezer"/>
        <w:numPr>
          <w:ilvl w:val="1"/>
          <w:numId w:val="5"/>
        </w:numPr>
        <w:jc w:val="both"/>
      </w:pPr>
      <w:r>
        <w:t>V prvních minutách vaření je toto normální.</w:t>
      </w:r>
    </w:p>
    <w:p w:rsidR="004D16CD" w:rsidRDefault="004D16CD" w:rsidP="00E67BD2">
      <w:pPr>
        <w:pStyle w:val="Bezmezer"/>
        <w:numPr>
          <w:ilvl w:val="1"/>
          <w:numId w:val="5"/>
        </w:numPr>
        <w:jc w:val="both"/>
      </w:pPr>
      <w:r>
        <w:t>Zdroj tepla není dostačující – zvyšte výkon.</w:t>
      </w:r>
    </w:p>
    <w:p w:rsidR="004D16CD" w:rsidRDefault="004D16CD" w:rsidP="00E67BD2">
      <w:pPr>
        <w:pStyle w:val="Bezmezer"/>
        <w:numPr>
          <w:ilvl w:val="1"/>
          <w:numId w:val="5"/>
        </w:numPr>
        <w:jc w:val="both"/>
      </w:pPr>
      <w:r>
        <w:t>V hrnci není dostatek tekutiny.</w:t>
      </w:r>
    </w:p>
    <w:p w:rsidR="004D16CD" w:rsidRDefault="004D16CD" w:rsidP="00E67BD2">
      <w:pPr>
        <w:pStyle w:val="Bezmezer"/>
        <w:numPr>
          <w:ilvl w:val="1"/>
          <w:numId w:val="5"/>
        </w:numPr>
        <w:jc w:val="both"/>
      </w:pPr>
      <w:r>
        <w:t>Těsnící kroužek je opotřebený.</w:t>
      </w:r>
    </w:p>
    <w:p w:rsidR="004D16CD" w:rsidRDefault="004D16CD" w:rsidP="004D16CD">
      <w:pPr>
        <w:pStyle w:val="Bezmezer"/>
        <w:numPr>
          <w:ilvl w:val="0"/>
          <w:numId w:val="5"/>
        </w:numPr>
        <w:jc w:val="both"/>
      </w:pPr>
      <w:r>
        <w:t>Když červený kolík bezpečnostního ventilu vzroste během vaření a pára neuniká z ventilu regulace tlaku:</w:t>
      </w:r>
    </w:p>
    <w:p w:rsidR="004D16CD" w:rsidRDefault="004D16CD" w:rsidP="004D16CD">
      <w:pPr>
        <w:pStyle w:val="Bezmezer"/>
        <w:numPr>
          <w:ilvl w:val="1"/>
          <w:numId w:val="5"/>
        </w:numPr>
        <w:jc w:val="both"/>
      </w:pPr>
      <w:r>
        <w:t>Podržte tlakový hrnec pod tekoucí vodou k uvolnění páry.</w:t>
      </w:r>
    </w:p>
    <w:p w:rsidR="004D16CD" w:rsidRDefault="004D16CD" w:rsidP="004D16CD">
      <w:pPr>
        <w:pStyle w:val="Bezmezer"/>
        <w:numPr>
          <w:ilvl w:val="1"/>
          <w:numId w:val="5"/>
        </w:numPr>
        <w:jc w:val="both"/>
      </w:pPr>
      <w:r>
        <w:t>Otevřete tlakový hrnec.</w:t>
      </w:r>
    </w:p>
    <w:p w:rsidR="004D16CD" w:rsidRDefault="004D16CD" w:rsidP="004D16CD">
      <w:pPr>
        <w:pStyle w:val="Bezmezer"/>
        <w:numPr>
          <w:ilvl w:val="1"/>
          <w:numId w:val="5"/>
        </w:numPr>
        <w:jc w:val="both"/>
      </w:pPr>
      <w:r>
        <w:t>Vyčistěte ventil regulace tlaku a bezpečnostní ventil.</w:t>
      </w:r>
    </w:p>
    <w:p w:rsidR="004D16CD" w:rsidRDefault="004D16CD" w:rsidP="004D16CD">
      <w:pPr>
        <w:pStyle w:val="Bezmezer"/>
        <w:numPr>
          <w:ilvl w:val="0"/>
          <w:numId w:val="5"/>
        </w:numPr>
        <w:jc w:val="both"/>
      </w:pPr>
      <w:r>
        <w:t>Pokud pára uniká po různých stranách hrnce, zkontrolujte:</w:t>
      </w:r>
    </w:p>
    <w:p w:rsidR="004D16CD" w:rsidRDefault="004D16CD" w:rsidP="004D16CD">
      <w:pPr>
        <w:pStyle w:val="Bezmezer"/>
        <w:numPr>
          <w:ilvl w:val="1"/>
          <w:numId w:val="5"/>
        </w:numPr>
        <w:jc w:val="both"/>
      </w:pPr>
      <w:r>
        <w:t>Zda je víko správně uzavřeno.</w:t>
      </w:r>
    </w:p>
    <w:p w:rsidR="004D16CD" w:rsidRDefault="004D16CD" w:rsidP="004D16CD">
      <w:pPr>
        <w:pStyle w:val="Bezmezer"/>
        <w:numPr>
          <w:ilvl w:val="1"/>
          <w:numId w:val="5"/>
        </w:numPr>
        <w:jc w:val="both"/>
      </w:pPr>
      <w:r>
        <w:t>Zda je těsnící kroužek správně nasazen.</w:t>
      </w:r>
    </w:p>
    <w:p w:rsidR="004D16CD" w:rsidRDefault="004D16CD" w:rsidP="004D16CD">
      <w:pPr>
        <w:pStyle w:val="Bezmezer"/>
        <w:numPr>
          <w:ilvl w:val="1"/>
          <w:numId w:val="5"/>
        </w:numPr>
        <w:jc w:val="both"/>
      </w:pPr>
      <w:r>
        <w:t>Jaký je stav těsnícího kroužku – pokud je to nezbytné, vyměňte jej.</w:t>
      </w:r>
    </w:p>
    <w:p w:rsidR="004D16CD" w:rsidRDefault="004D16CD" w:rsidP="004D16CD">
      <w:pPr>
        <w:pStyle w:val="Bezmezer"/>
        <w:numPr>
          <w:ilvl w:val="1"/>
          <w:numId w:val="5"/>
        </w:numPr>
        <w:jc w:val="both"/>
      </w:pPr>
      <w:r>
        <w:t>Čistotu víka, bezpečnostního ventilu a ventilu regulace tlaku.</w:t>
      </w:r>
    </w:p>
    <w:p w:rsidR="004D16CD" w:rsidRDefault="004D16CD" w:rsidP="004D16CD">
      <w:pPr>
        <w:pStyle w:val="Bezmezer"/>
        <w:numPr>
          <w:ilvl w:val="0"/>
          <w:numId w:val="5"/>
        </w:numPr>
        <w:jc w:val="both"/>
      </w:pPr>
      <w:r>
        <w:t>Když víko nemůžete otevřít:</w:t>
      </w:r>
    </w:p>
    <w:p w:rsidR="004D16CD" w:rsidRDefault="004D16CD" w:rsidP="004D16CD">
      <w:pPr>
        <w:pStyle w:val="Bezmezer"/>
        <w:numPr>
          <w:ilvl w:val="1"/>
          <w:numId w:val="5"/>
        </w:numPr>
        <w:jc w:val="both"/>
      </w:pPr>
      <w:r>
        <w:t>Zkontrolujte</w:t>
      </w:r>
      <w:r w:rsidR="00883A09">
        <w:t>,</w:t>
      </w:r>
      <w:r>
        <w:t xml:space="preserve"> zda bezpečnostní ventil, poklesl (zapadnul) úplně, pokud ne odstraňte tlak (umístěte hrnec pod tekoucí vodu</w:t>
      </w:r>
      <w:r w:rsidR="00883A09">
        <w:t>, dokud veškerá pára neunikne</w:t>
      </w:r>
      <w:r>
        <w:t xml:space="preserve"> – neponořujte jej však do vody celý a zabraňte styk</w:t>
      </w:r>
      <w:r w:rsidR="00883A09">
        <w:t>u vody a plastových částí hrnce).</w:t>
      </w:r>
    </w:p>
    <w:p w:rsidR="00713E67" w:rsidRDefault="00713E67" w:rsidP="00D34667">
      <w:pPr>
        <w:pStyle w:val="Bezmezer"/>
        <w:jc w:val="both"/>
      </w:pPr>
    </w:p>
    <w:p w:rsidR="00B25898" w:rsidRPr="00FF73F3" w:rsidRDefault="00B25898" w:rsidP="00B25898">
      <w:pPr>
        <w:pStyle w:val="Bezmezer"/>
        <w:jc w:val="center"/>
      </w:pPr>
      <w:r>
        <w:rPr>
          <w:b/>
        </w:rPr>
        <w:t xml:space="preserve">V PŘÍPADĚ </w:t>
      </w:r>
      <w:r>
        <w:rPr>
          <w:b/>
          <w:u w:val="single"/>
        </w:rPr>
        <w:t>JAKÝCHKOLIV</w:t>
      </w:r>
      <w:r>
        <w:rPr>
          <w:b/>
        </w:rPr>
        <w:t xml:space="preserve"> NEJASNOSTÍ A POCHYBNOSTÍ SE OBRAŤTE NA DOVOZCE S PŘÍSLUŠNÝM DOTAZEM!</w:t>
      </w:r>
    </w:p>
    <w:sectPr w:rsidR="00B25898" w:rsidRPr="00FF73F3" w:rsidSect="00F03331">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EFD" w:rsidRDefault="00446EFD" w:rsidP="00E8623E">
      <w:pPr>
        <w:spacing w:after="0" w:line="240" w:lineRule="auto"/>
      </w:pPr>
      <w:r>
        <w:separator/>
      </w:r>
    </w:p>
  </w:endnote>
  <w:endnote w:type="continuationSeparator" w:id="0">
    <w:p w:rsidR="00446EFD" w:rsidRDefault="00446EFD" w:rsidP="00E8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252"/>
      <w:docPartObj>
        <w:docPartGallery w:val="Page Numbers (Bottom of Page)"/>
        <w:docPartUnique/>
      </w:docPartObj>
    </w:sdtPr>
    <w:sdtContent>
      <w:p w:rsidR="00E8623E" w:rsidRDefault="00E8623E">
        <w:pPr>
          <w:pStyle w:val="Zpat"/>
          <w:jc w:val="center"/>
        </w:pPr>
        <w:fldSimple w:instr=" PAGE   \* MERGEFORMAT ">
          <w:r w:rsidR="0090215C">
            <w:rPr>
              <w:noProof/>
            </w:rPr>
            <w:t>4</w:t>
          </w:r>
        </w:fldSimple>
      </w:p>
    </w:sdtContent>
  </w:sdt>
  <w:p w:rsidR="00E8623E" w:rsidRDefault="00E862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EFD" w:rsidRDefault="00446EFD" w:rsidP="00E8623E">
      <w:pPr>
        <w:spacing w:after="0" w:line="240" w:lineRule="auto"/>
      </w:pPr>
      <w:r>
        <w:separator/>
      </w:r>
    </w:p>
  </w:footnote>
  <w:footnote w:type="continuationSeparator" w:id="0">
    <w:p w:rsidR="00446EFD" w:rsidRDefault="00446EFD" w:rsidP="00E86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47ED"/>
    <w:multiLevelType w:val="hybridMultilevel"/>
    <w:tmpl w:val="09D48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285A90"/>
    <w:multiLevelType w:val="hybridMultilevel"/>
    <w:tmpl w:val="0E7C0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A43996"/>
    <w:multiLevelType w:val="hybridMultilevel"/>
    <w:tmpl w:val="B824B7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56752E"/>
    <w:multiLevelType w:val="hybridMultilevel"/>
    <w:tmpl w:val="77D0F4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4FEA1753"/>
    <w:multiLevelType w:val="hybridMultilevel"/>
    <w:tmpl w:val="FBF2FA1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D3661DB"/>
    <w:multiLevelType w:val="hybridMultilevel"/>
    <w:tmpl w:val="D93425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E2B0179"/>
    <w:multiLevelType w:val="hybridMultilevel"/>
    <w:tmpl w:val="6D8AD6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5774"/>
    <w:rsid w:val="0006082E"/>
    <w:rsid w:val="0008597C"/>
    <w:rsid w:val="000A7F06"/>
    <w:rsid w:val="000D7A3C"/>
    <w:rsid w:val="0012247E"/>
    <w:rsid w:val="0018782B"/>
    <w:rsid w:val="001D6DFF"/>
    <w:rsid w:val="00217EF5"/>
    <w:rsid w:val="0023153A"/>
    <w:rsid w:val="002950CA"/>
    <w:rsid w:val="002C35CB"/>
    <w:rsid w:val="002F6E74"/>
    <w:rsid w:val="002F7148"/>
    <w:rsid w:val="003029A0"/>
    <w:rsid w:val="003B547E"/>
    <w:rsid w:val="003B7DCC"/>
    <w:rsid w:val="00446EFD"/>
    <w:rsid w:val="00454624"/>
    <w:rsid w:val="0048604F"/>
    <w:rsid w:val="004A762F"/>
    <w:rsid w:val="004D12AD"/>
    <w:rsid w:val="004D16CD"/>
    <w:rsid w:val="004D7B74"/>
    <w:rsid w:val="004F22F6"/>
    <w:rsid w:val="005318AC"/>
    <w:rsid w:val="005A38E6"/>
    <w:rsid w:val="006A3B86"/>
    <w:rsid w:val="006B34FA"/>
    <w:rsid w:val="006E225F"/>
    <w:rsid w:val="00713E67"/>
    <w:rsid w:val="0073603B"/>
    <w:rsid w:val="00746E75"/>
    <w:rsid w:val="00762DA6"/>
    <w:rsid w:val="007D4480"/>
    <w:rsid w:val="008052ED"/>
    <w:rsid w:val="00833849"/>
    <w:rsid w:val="008443FA"/>
    <w:rsid w:val="00862696"/>
    <w:rsid w:val="00883A09"/>
    <w:rsid w:val="00884A0F"/>
    <w:rsid w:val="008E2C44"/>
    <w:rsid w:val="0090215C"/>
    <w:rsid w:val="009369A4"/>
    <w:rsid w:val="0094284A"/>
    <w:rsid w:val="00971D9A"/>
    <w:rsid w:val="009808A0"/>
    <w:rsid w:val="00986346"/>
    <w:rsid w:val="009957E4"/>
    <w:rsid w:val="009A21D0"/>
    <w:rsid w:val="009E131C"/>
    <w:rsid w:val="009E3D13"/>
    <w:rsid w:val="00A216DB"/>
    <w:rsid w:val="00A25064"/>
    <w:rsid w:val="00A917C6"/>
    <w:rsid w:val="00B25898"/>
    <w:rsid w:val="00B40B7C"/>
    <w:rsid w:val="00BB5AB4"/>
    <w:rsid w:val="00BC1D23"/>
    <w:rsid w:val="00BC5774"/>
    <w:rsid w:val="00C076A5"/>
    <w:rsid w:val="00C26344"/>
    <w:rsid w:val="00C45771"/>
    <w:rsid w:val="00C57584"/>
    <w:rsid w:val="00C73FB7"/>
    <w:rsid w:val="00CA0436"/>
    <w:rsid w:val="00D149B3"/>
    <w:rsid w:val="00D34667"/>
    <w:rsid w:val="00DC4727"/>
    <w:rsid w:val="00E11DCB"/>
    <w:rsid w:val="00E66633"/>
    <w:rsid w:val="00E67BD2"/>
    <w:rsid w:val="00E8623E"/>
    <w:rsid w:val="00E97D07"/>
    <w:rsid w:val="00ED32D4"/>
    <w:rsid w:val="00ED4F00"/>
    <w:rsid w:val="00F03331"/>
    <w:rsid w:val="00F44738"/>
    <w:rsid w:val="00F50CB2"/>
    <w:rsid w:val="00F833E2"/>
    <w:rsid w:val="00F852BA"/>
    <w:rsid w:val="00FF73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331"/>
  </w:style>
  <w:style w:type="paragraph" w:styleId="Nadpis2">
    <w:name w:val="heading 2"/>
    <w:basedOn w:val="Normln"/>
    <w:next w:val="Normln"/>
    <w:link w:val="Nadpis2Char"/>
    <w:uiPriority w:val="9"/>
    <w:unhideWhenUsed/>
    <w:qFormat/>
    <w:rsid w:val="00BC57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C5774"/>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5A38E6"/>
    <w:pPr>
      <w:spacing w:after="0" w:line="240" w:lineRule="auto"/>
    </w:pPr>
  </w:style>
  <w:style w:type="paragraph" w:styleId="Textbubliny">
    <w:name w:val="Balloon Text"/>
    <w:basedOn w:val="Normln"/>
    <w:link w:val="TextbublinyChar"/>
    <w:uiPriority w:val="99"/>
    <w:semiHidden/>
    <w:unhideWhenUsed/>
    <w:rsid w:val="009863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346"/>
    <w:rPr>
      <w:rFonts w:ascii="Tahoma" w:hAnsi="Tahoma" w:cs="Tahoma"/>
      <w:sz w:val="16"/>
      <w:szCs w:val="16"/>
    </w:rPr>
  </w:style>
  <w:style w:type="paragraph" w:styleId="Odstavecseseznamem">
    <w:name w:val="List Paragraph"/>
    <w:basedOn w:val="Normln"/>
    <w:uiPriority w:val="34"/>
    <w:qFormat/>
    <w:rsid w:val="00986346"/>
    <w:pPr>
      <w:ind w:left="720"/>
      <w:contextualSpacing/>
    </w:pPr>
  </w:style>
  <w:style w:type="paragraph" w:styleId="Zhlav">
    <w:name w:val="header"/>
    <w:basedOn w:val="Normln"/>
    <w:link w:val="ZhlavChar"/>
    <w:uiPriority w:val="99"/>
    <w:semiHidden/>
    <w:unhideWhenUsed/>
    <w:rsid w:val="00E8623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8623E"/>
  </w:style>
  <w:style w:type="paragraph" w:styleId="Zpat">
    <w:name w:val="footer"/>
    <w:basedOn w:val="Normln"/>
    <w:link w:val="ZpatChar"/>
    <w:uiPriority w:val="99"/>
    <w:unhideWhenUsed/>
    <w:rsid w:val="00E86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E862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3B9C3-08EE-4884-B696-5F9FF66D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1088</Words>
  <Characters>6422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60</cp:revision>
  <dcterms:created xsi:type="dcterms:W3CDTF">2013-09-16T20:27:00Z</dcterms:created>
  <dcterms:modified xsi:type="dcterms:W3CDTF">2014-02-13T13:09:00Z</dcterms:modified>
</cp:coreProperties>
</file>